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DAC3" w14:textId="77777777" w:rsidR="003E213A" w:rsidRPr="00E93895" w:rsidRDefault="003E213A" w:rsidP="003E213A">
      <w:pPr>
        <w:pStyle w:val="Heading1"/>
        <w:numPr>
          <w:ilvl w:val="0"/>
          <w:numId w:val="0"/>
        </w:numPr>
        <w:ind w:left="2629" w:hanging="360"/>
        <w:rPr>
          <w:rFonts w:asciiTheme="minorHAnsi" w:hAnsiTheme="minorHAnsi" w:cstheme="minorHAnsi"/>
        </w:rPr>
      </w:pPr>
      <w:bookmarkStart w:id="0" w:name="_Toc128665882"/>
      <w:bookmarkStart w:id="1" w:name="_GoBack"/>
      <w:r w:rsidRPr="00E93895">
        <w:rPr>
          <w:rFonts w:asciiTheme="minorHAnsi" w:hAnsiTheme="minorHAnsi" w:cstheme="minorHAnsi"/>
        </w:rPr>
        <w:t>Call for tenders ref. S3JU/LC/011-CFT</w:t>
      </w:r>
    </w:p>
    <w:p w14:paraId="31321A92" w14:textId="77777777" w:rsidR="003E213A" w:rsidRPr="00E93895" w:rsidRDefault="003E213A" w:rsidP="003E213A">
      <w:pPr>
        <w:pStyle w:val="Heading1"/>
        <w:numPr>
          <w:ilvl w:val="0"/>
          <w:numId w:val="0"/>
        </w:numPr>
        <w:ind w:left="426" w:hanging="360"/>
        <w:rPr>
          <w:rFonts w:asciiTheme="minorHAnsi" w:hAnsiTheme="minorHAnsi" w:cstheme="minorHAnsi"/>
        </w:rPr>
      </w:pPr>
      <w:r w:rsidRPr="00E93895">
        <w:rPr>
          <w:rFonts w:asciiTheme="minorHAnsi" w:hAnsiTheme="minorHAnsi" w:cstheme="minorHAnsi"/>
        </w:rPr>
        <w:t xml:space="preserve">Annex </w:t>
      </w:r>
      <w:proofErr w:type="gramStart"/>
      <w:r w:rsidRPr="00E93895">
        <w:rPr>
          <w:rFonts w:asciiTheme="minorHAnsi" w:hAnsiTheme="minorHAnsi" w:cstheme="minorHAnsi"/>
        </w:rPr>
        <w:t>7</w:t>
      </w:r>
      <w:proofErr w:type="gramEnd"/>
      <w:r w:rsidRPr="00E93895">
        <w:rPr>
          <w:rFonts w:asciiTheme="minorHAnsi" w:hAnsiTheme="minorHAnsi" w:cstheme="minorHAnsi"/>
        </w:rPr>
        <w:t>. Case Study Work area 1 “Support the UPDATE OF THE MASTER PLAN”</w:t>
      </w:r>
      <w:bookmarkEnd w:id="0"/>
    </w:p>
    <w:p w14:paraId="6A322190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r w:rsidRPr="00E93895">
        <w:rPr>
          <w:rFonts w:asciiTheme="minorHAnsi" w:hAnsiTheme="minorHAnsi" w:cstheme="minorHAnsi"/>
          <w:b w:val="0"/>
        </w:rPr>
        <w:t xml:space="preserve">The current applicable European ATM Master Plan (ed. 2020) is subject to </w:t>
      </w:r>
      <w:proofErr w:type="gramStart"/>
      <w:r w:rsidRPr="00E93895">
        <w:rPr>
          <w:rFonts w:asciiTheme="minorHAnsi" w:hAnsiTheme="minorHAnsi" w:cstheme="minorHAnsi"/>
          <w:b w:val="0"/>
        </w:rPr>
        <w:t>be updated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. To update the MP a series of various success criteria </w:t>
      </w:r>
      <w:proofErr w:type="gramStart"/>
      <w:r w:rsidRPr="00E93895">
        <w:rPr>
          <w:rFonts w:asciiTheme="minorHAnsi" w:hAnsiTheme="minorHAnsi" w:cstheme="minorHAnsi"/>
          <w:b w:val="0"/>
        </w:rPr>
        <w:t>were worked out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 and are to be agreed at the level of the SESAR 3 JU Governing Board.  One of those criteria </w:t>
      </w:r>
      <w:proofErr w:type="gramStart"/>
      <w:r w:rsidRPr="00E93895">
        <w:rPr>
          <w:rFonts w:asciiTheme="minorHAnsi" w:hAnsiTheme="minorHAnsi" w:cstheme="minorHAnsi"/>
          <w:b w:val="0"/>
        </w:rPr>
        <w:t>is formulated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 as follows: “</w:t>
      </w:r>
      <w:r w:rsidRPr="00E93895">
        <w:rPr>
          <w:rFonts w:asciiTheme="minorHAnsi" w:hAnsiTheme="minorHAnsi" w:cstheme="minorHAnsi"/>
          <w:i/>
        </w:rPr>
        <w:t>Provide the supporting Digital European Sky target architecture and service delivery model for a fully scalable and resilient ATM in Europe”</w:t>
      </w:r>
    </w:p>
    <w:p w14:paraId="203E78F1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proofErr w:type="gramStart"/>
      <w:r w:rsidRPr="00E93895">
        <w:rPr>
          <w:rFonts w:asciiTheme="minorHAnsi" w:hAnsiTheme="minorHAnsi" w:cstheme="minorHAnsi"/>
          <w:b w:val="0"/>
        </w:rPr>
        <w:t>Also, at the Board of December 2022 it was decided that the Master Plan has to be strengthened and simplified by lifting up content to become a more strategic steering tool focusing on the “why we need to act” (link to policy and performance ambitions), the “what needs to be done” (vision with a clear sense of priorities) and the “by when” (high-level roll-out to achieve the vision).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 A summary of the revised proposed can be retrieved listed in appendix 6.</w:t>
      </w:r>
    </w:p>
    <w:p w14:paraId="17B2710C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r w:rsidRPr="00E93895">
        <w:rPr>
          <w:rFonts w:asciiTheme="minorHAnsi" w:hAnsiTheme="minorHAnsi" w:cstheme="minorHAnsi"/>
          <w:b w:val="0"/>
        </w:rPr>
        <w:t xml:space="preserve">To update the MP in respect to this success criteria the </w:t>
      </w:r>
      <w:r w:rsidRPr="00E93895">
        <w:rPr>
          <w:rFonts w:asciiTheme="minorHAnsi" w:hAnsiTheme="minorHAnsi" w:cstheme="minorHAnsi"/>
        </w:rPr>
        <w:t>SESAR 3 JU will capitalise on an existing study entitled “Airspace Architecture Study” (abbrev AAS, see appendix 6)</w:t>
      </w:r>
      <w:r w:rsidRPr="00E93895">
        <w:rPr>
          <w:rFonts w:asciiTheme="minorHAnsi" w:hAnsiTheme="minorHAnsi" w:cstheme="minorHAnsi"/>
          <w:b w:val="0"/>
        </w:rPr>
        <w:t xml:space="preserve"> that provides a comprehensible overview about how this success criteria can be achieved.</w:t>
      </w:r>
    </w:p>
    <w:p w14:paraId="33A79561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r w:rsidRPr="00E93895">
        <w:rPr>
          <w:rFonts w:asciiTheme="minorHAnsi" w:hAnsiTheme="minorHAnsi" w:cstheme="minorHAnsi"/>
          <w:b w:val="0"/>
        </w:rPr>
        <w:t>To perform the task the SESAR 3 JU will work and mature the subject in an incremental/iterative manner and seeks support and advice by the tender (work area 1) to work out the subject and translate it in a strategic agreed proposal. To come to a proposal the tender has to retrieve and consider all available information and artefacts like current and target architecture, R&amp;D solutions available, economical aspects, time line, performance gains, etc.</w:t>
      </w:r>
    </w:p>
    <w:p w14:paraId="3F1A70AC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r w:rsidRPr="00E93895">
        <w:rPr>
          <w:rFonts w:asciiTheme="minorHAnsi" w:hAnsiTheme="minorHAnsi" w:cstheme="minorHAnsi"/>
          <w:b w:val="0"/>
        </w:rPr>
        <w:t xml:space="preserve">To complete the use case the tenderer </w:t>
      </w:r>
      <w:proofErr w:type="gramStart"/>
      <w:r w:rsidRPr="00E93895">
        <w:rPr>
          <w:rFonts w:asciiTheme="minorHAnsi" w:hAnsiTheme="minorHAnsi" w:cstheme="minorHAnsi"/>
          <w:b w:val="0"/>
        </w:rPr>
        <w:t>is requested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 to propose how this specific topic linked to single success criteria could be approached with the ambition to deliver an amendment to the current Master Plan. </w:t>
      </w:r>
    </w:p>
    <w:p w14:paraId="7461466E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r w:rsidRPr="00E93895">
        <w:rPr>
          <w:rFonts w:asciiTheme="minorHAnsi" w:hAnsiTheme="minorHAnsi" w:cstheme="minorHAnsi"/>
          <w:b w:val="0"/>
        </w:rPr>
        <w:t xml:space="preserve">It should be well understood that the work to be done </w:t>
      </w:r>
      <w:proofErr w:type="gramStart"/>
      <w:r w:rsidRPr="00E93895">
        <w:rPr>
          <w:rFonts w:asciiTheme="minorHAnsi" w:hAnsiTheme="minorHAnsi" w:cstheme="minorHAnsi"/>
          <w:b w:val="0"/>
        </w:rPr>
        <w:t>shall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 be carried out under the supervision and in close co-operation with the SESAR 3 JU who maintains contact to all </w:t>
      </w:r>
      <w:r w:rsidRPr="00E93895">
        <w:rPr>
          <w:rFonts w:asciiTheme="minorHAnsi" w:hAnsiTheme="minorHAnsi" w:cstheme="minorHAnsi"/>
          <w:b w:val="0"/>
        </w:rPr>
        <w:lastRenderedPageBreak/>
        <w:t>stakeholders and who in support to develop the new Master Plan can rely on the supporting committee in which each stakeholder is formally represented and can be consulted.</w:t>
      </w:r>
    </w:p>
    <w:p w14:paraId="52D7E2E5" w14:textId="77777777" w:rsidR="003E213A" w:rsidRPr="00E93895" w:rsidRDefault="003E213A" w:rsidP="003E213A">
      <w:pPr>
        <w:pStyle w:val="Text1"/>
        <w:rPr>
          <w:rFonts w:asciiTheme="minorHAnsi" w:hAnsiTheme="minorHAnsi" w:cstheme="minorHAnsi"/>
          <w:b w:val="0"/>
        </w:rPr>
      </w:pPr>
      <w:r w:rsidRPr="00E93895">
        <w:rPr>
          <w:rFonts w:asciiTheme="minorHAnsi" w:hAnsiTheme="minorHAnsi" w:cstheme="minorHAnsi"/>
          <w:b w:val="0"/>
        </w:rPr>
        <w:t xml:space="preserve">The proposal of this case study should not exceed </w:t>
      </w:r>
      <w:proofErr w:type="gramStart"/>
      <w:r w:rsidRPr="00E93895">
        <w:rPr>
          <w:rFonts w:asciiTheme="minorHAnsi" w:hAnsiTheme="minorHAnsi" w:cstheme="minorHAnsi"/>
          <w:b w:val="0"/>
        </w:rPr>
        <w:t>4</w:t>
      </w:r>
      <w:proofErr w:type="gramEnd"/>
      <w:r w:rsidRPr="00E93895">
        <w:rPr>
          <w:rFonts w:asciiTheme="minorHAnsi" w:hAnsiTheme="minorHAnsi" w:cstheme="minorHAnsi"/>
          <w:b w:val="0"/>
        </w:rPr>
        <w:t xml:space="preserve"> pages and describe briefly approach, organisation, resource allocations, time line, quality measures, price setting aligned with the prices offered in the Price Schedule - financial offer submitted for the purpose of this call for tender. </w:t>
      </w:r>
    </w:p>
    <w:bookmarkEnd w:id="1"/>
    <w:p w14:paraId="3F284BA0" w14:textId="77777777" w:rsidR="008431D5" w:rsidRPr="00E93895" w:rsidRDefault="00E93895">
      <w:pPr>
        <w:rPr>
          <w:rFonts w:cstheme="minorHAnsi"/>
        </w:rPr>
      </w:pPr>
    </w:p>
    <w:sectPr w:rsidR="008431D5" w:rsidRPr="00E9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13C6E832"/>
    <w:lvl w:ilvl="0">
      <w:start w:val="1"/>
      <w:numFmt w:val="decimal"/>
      <w:pStyle w:val="Heading1"/>
      <w:lvlText w:val="%1."/>
      <w:lvlJc w:val="left"/>
      <w:pPr>
        <w:ind w:left="2629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50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404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A"/>
    <w:rsid w:val="003E213A"/>
    <w:rsid w:val="00651AE1"/>
    <w:rsid w:val="00D27AAC"/>
    <w:rsid w:val="00E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309"/>
  <w15:chartTrackingRefBased/>
  <w15:docId w15:val="{1E22673B-8B4E-4286-93FB-E422024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3E213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E213A"/>
    <w:pPr>
      <w:keepNext/>
      <w:numPr>
        <w:ilvl w:val="1"/>
        <w:numId w:val="1"/>
      </w:numPr>
      <w:spacing w:before="360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ing3">
    <w:name w:val="heading 3"/>
    <w:basedOn w:val="Normal"/>
    <w:next w:val="Text1"/>
    <w:link w:val="Heading3Char"/>
    <w:autoRedefine/>
    <w:qFormat/>
    <w:rsid w:val="003E213A"/>
    <w:pPr>
      <w:keepNext/>
      <w:numPr>
        <w:ilvl w:val="2"/>
        <w:numId w:val="1"/>
      </w:numPr>
      <w:spacing w:before="100" w:beforeAutospacing="1" w:after="240" w:line="240" w:lineRule="auto"/>
      <w:ind w:left="1072" w:hanging="505"/>
      <w:jc w:val="both"/>
      <w:outlineLvl w:val="2"/>
    </w:pPr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13A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E213A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E213A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1">
    <w:name w:val="Text 1"/>
    <w:basedOn w:val="Normal"/>
    <w:link w:val="Text1Char"/>
    <w:qFormat/>
    <w:rsid w:val="003E21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ext1Char">
    <w:name w:val="Text 1 Char"/>
    <w:link w:val="Text1"/>
    <w:rsid w:val="003E213A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4F99CC625CF01A4AA54C555B4892DC5A" ma:contentTypeVersion="1" ma:contentTypeDescription="Create a new document." ma:contentTypeScope="" ma:versionID="515ab581865845de2bb117f35e0ee0cc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1717c7fbea0d057b239138d11fff313c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/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2028-03-03T12:33:59+00:00</_dlc_ExpireDate>
  </documentManagement>
</p:properties>
</file>

<file path=customXml/itemProps1.xml><?xml version="1.0" encoding="utf-8"?>
<ds:datastoreItem xmlns:ds="http://schemas.openxmlformats.org/officeDocument/2006/customXml" ds:itemID="{EDB36FFA-669F-4BD5-A2A1-C78935BD5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1FB28-7A7B-4232-822D-5F1DBB9CB11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6C990E9-20E3-44AB-9A42-CCD0EA8E07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E80F98-9FD9-446B-A47F-6CA01E678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9b379b8e-d7b4-4617-984b-be182108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6BE0AE-5CBD-4B41-B114-DC8D8D8D6F1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9b379b8e-d7b4-4617-984b-be182108d5a0"/>
    <ds:schemaRef ds:uri="http://schemas.openxmlformats.org/package/2006/metadata/core-properties"/>
    <ds:schemaRef ds:uri="2ec63619-3844-40e7-9e28-7c36eb199f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SESAR 3 JU LEG</dc:creator>
  <cp:keywords/>
  <dc:description/>
  <cp:lastModifiedBy>SESAR 3 JU LEG</cp:lastModifiedBy>
  <cp:revision>2</cp:revision>
  <dcterms:created xsi:type="dcterms:W3CDTF">2023-03-03T08:14:00Z</dcterms:created>
  <dcterms:modified xsi:type="dcterms:W3CDTF">2023-03-03T12:33:00Z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0x01010046A7623DD5BCC7448A0CB275D0ABF4C401004F99CC625CF01A4AA54C555B4892DC5A</vt:lpwstr>
  </property>
  <property fmtid="{D5CDD505-2E9C-101B-9397-08002B2CF9AE}" pid="3" name="_dlc_policyId">
    <vt:lpwstr>0x01010046A7623DD5BCC7448A0CB275D0ABF4C4|-873455637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5" name="hffb6e430afe4e028d49de44726b77b1">
    <vt:lpwstr/>
  </property>
  <property fmtid="{D5CDD505-2E9C-101B-9397-08002B2CF9AE}" pid="6" name="TaxKeyword">
    <vt:lpwstr/>
  </property>
  <property fmtid="{D5CDD505-2E9C-101B-9397-08002B2CF9AE}" pid="7" name="Contract Reference">
    <vt:lpwstr/>
  </property>
  <property fmtid="{D5CDD505-2E9C-101B-9397-08002B2CF9AE}" pid="8" name="Meeting/Event Reference">
    <vt:lpwstr/>
  </property>
  <property fmtid="{D5CDD505-2E9C-101B-9397-08002B2CF9AE}" pid="9" name="Counterpart">
    <vt:lpwstr/>
  </property>
  <property fmtid="{D5CDD505-2E9C-101B-9397-08002B2CF9AE}" pid="10" name="k188c68295da49f8b8aaba89b0428a25">
    <vt:lpwstr/>
  </property>
  <property fmtid="{D5CDD505-2E9C-101B-9397-08002B2CF9AE}" pid="11" name="k225c6f7973d4da68f27e9ecf639bfd5">
    <vt:lpwstr/>
  </property>
  <property fmtid="{D5CDD505-2E9C-101B-9397-08002B2CF9AE}" pid="12" name="Process Domain">
    <vt:lpwstr/>
  </property>
  <property fmtid="{D5CDD505-2E9C-101B-9397-08002B2CF9AE}" pid="13" name="Contract Type">
    <vt:lpwstr/>
  </property>
</Properties>
</file>